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tabs>
          <w:tab w:val="left" w:pos="3518"/>
        </w:tabs>
        <w:kinsoku w:val="0"/>
        <w:wordWrap/>
        <w:overflowPunct/>
        <w:topLinePunct w:val="0"/>
        <w:autoSpaceDE w:val="0"/>
        <w:autoSpaceDN w:val="0"/>
        <w:bidi w:val="0"/>
        <w:adjustRightInd w:val="0"/>
        <w:snapToGrid w:val="0"/>
        <w:spacing w:line="300" w:lineRule="auto"/>
        <w:jc w:val="center"/>
        <w:textAlignment w:val="baseline"/>
        <w:rPr>
          <w:rFonts w:hint="eastAsia" w:ascii="黑体" w:hAnsi="黑体" w:eastAsia="黑体" w:cs="黑体"/>
          <w:spacing w:val="-2"/>
          <w:sz w:val="44"/>
          <w:szCs w:val="44"/>
        </w:rPr>
      </w:pPr>
      <w:r>
        <w:rPr>
          <w:rFonts w:hint="eastAsia" w:ascii="黑体" w:hAnsi="黑体" w:eastAsia="黑体" w:cs="黑体"/>
          <w:spacing w:val="-2"/>
          <w:sz w:val="44"/>
          <w:szCs w:val="44"/>
        </w:rPr>
        <w:t>晋江市市场监督管理局</w:t>
      </w:r>
    </w:p>
    <w:p>
      <w:pPr>
        <w:keepNext w:val="0"/>
        <w:keepLines w:val="0"/>
        <w:pageBreakBefore w:val="0"/>
        <w:widowControl/>
        <w:tabs>
          <w:tab w:val="left" w:pos="3518"/>
        </w:tabs>
        <w:kinsoku w:val="0"/>
        <w:wordWrap/>
        <w:overflowPunct/>
        <w:topLinePunct w:val="0"/>
        <w:autoSpaceDE w:val="0"/>
        <w:autoSpaceDN w:val="0"/>
        <w:bidi w:val="0"/>
        <w:adjustRightInd w:val="0"/>
        <w:snapToGrid w:val="0"/>
        <w:spacing w:line="300" w:lineRule="auto"/>
        <w:jc w:val="center"/>
        <w:textAlignment w:val="baseline"/>
        <w:rPr>
          <w:rFonts w:hint="eastAsia" w:ascii="黑体" w:hAnsi="黑体" w:eastAsia="黑体" w:cs="黑体"/>
          <w:sz w:val="44"/>
          <w:szCs w:val="44"/>
        </w:rPr>
      </w:pPr>
      <w:r>
        <w:rPr>
          <w:rFonts w:hint="eastAsia" w:ascii="黑体" w:hAnsi="黑体" w:eastAsia="黑体" w:cs="黑体"/>
          <w:spacing w:val="-1"/>
          <w:sz w:val="44"/>
          <w:szCs w:val="44"/>
        </w:rPr>
        <w:t>行政</w:t>
      </w:r>
      <w:r>
        <w:rPr>
          <w:rFonts w:hint="eastAsia" w:ascii="黑体" w:hAnsi="黑体" w:eastAsia="黑体" w:cs="黑体"/>
          <w:spacing w:val="-1"/>
          <w:sz w:val="44"/>
          <w:szCs w:val="44"/>
          <w:lang w:eastAsia="zh-CN"/>
        </w:rPr>
        <w:t>处</w:t>
      </w:r>
      <w:r>
        <w:rPr>
          <w:rFonts w:hint="eastAsia" w:ascii="黑体" w:hAnsi="黑体" w:eastAsia="黑体" w:cs="黑体"/>
          <w:spacing w:val="-1"/>
          <w:sz w:val="44"/>
          <w:szCs w:val="44"/>
        </w:rPr>
        <w:t>罚决定书</w:t>
      </w:r>
    </w:p>
    <w:p>
      <w:pPr>
        <w:keepNext w:val="0"/>
        <w:keepLines w:val="0"/>
        <w:pageBreakBefore w:val="0"/>
        <w:widowControl/>
        <w:tabs>
          <w:tab w:val="left" w:pos="2725"/>
        </w:tabs>
        <w:kinsoku w:val="0"/>
        <w:wordWrap/>
        <w:overflowPunct/>
        <w:topLinePunct w:val="0"/>
        <w:autoSpaceDE w:val="0"/>
        <w:autoSpaceDN w:val="0"/>
        <w:bidi w:val="0"/>
        <w:adjustRightInd w:val="0"/>
        <w:snapToGrid w:val="0"/>
        <w:spacing w:before="38" w:line="300" w:lineRule="auto"/>
        <w:jc w:val="center"/>
        <w:textAlignment w:val="baseline"/>
        <w:rPr>
          <w:rFonts w:ascii="仿宋" w:hAnsi="仿宋" w:eastAsia="仿宋" w:cs="仿宋"/>
          <w:spacing w:val="-7"/>
          <w:sz w:val="32"/>
          <w:szCs w:val="32"/>
        </w:rPr>
      </w:pPr>
      <w:r>
        <w:rPr>
          <w:rFonts w:hint="eastAsia" w:ascii="仿宋" w:hAnsi="仿宋" w:eastAsia="仿宋" w:cs="仿宋"/>
          <w:spacing w:val="-7"/>
          <w:sz w:val="32"/>
          <w:szCs w:val="32"/>
        </w:rPr>
        <w:t>晋市监</w:t>
      </w:r>
      <w:r>
        <w:rPr>
          <w:rFonts w:hint="eastAsia" w:ascii="仿宋" w:hAnsi="仿宋" w:eastAsia="仿宋" w:cs="仿宋"/>
          <w:spacing w:val="-7"/>
          <w:sz w:val="32"/>
          <w:szCs w:val="32"/>
          <w:lang w:eastAsia="zh-CN"/>
        </w:rPr>
        <w:t>处罚</w:t>
      </w:r>
      <w:r>
        <w:rPr>
          <w:rFonts w:hint="eastAsia" w:ascii="仿宋" w:hAnsi="仿宋" w:eastAsia="仿宋" w:cs="仿宋"/>
          <w:spacing w:val="-7"/>
          <w:sz w:val="32"/>
          <w:szCs w:val="32"/>
        </w:rPr>
        <w:t>〔202</w:t>
      </w:r>
      <w:r>
        <w:rPr>
          <w:rFonts w:hint="eastAsia" w:ascii="仿宋" w:hAnsi="仿宋" w:eastAsia="仿宋" w:cs="仿宋"/>
          <w:spacing w:val="-7"/>
          <w:sz w:val="32"/>
          <w:szCs w:val="32"/>
          <w:lang w:val="en-US" w:eastAsia="zh-CN"/>
        </w:rPr>
        <w:t>5</w:t>
      </w:r>
      <w:r>
        <w:rPr>
          <w:rFonts w:hint="eastAsia" w:ascii="仿宋" w:hAnsi="仿宋" w:eastAsia="仿宋" w:cs="仿宋"/>
          <w:spacing w:val="-7"/>
          <w:sz w:val="32"/>
          <w:szCs w:val="32"/>
        </w:rPr>
        <w:t>〕10-0</w:t>
      </w:r>
      <w:r>
        <w:rPr>
          <w:rFonts w:hint="eastAsia" w:ascii="仿宋" w:hAnsi="仿宋" w:eastAsia="仿宋" w:cs="仿宋"/>
          <w:spacing w:val="-7"/>
          <w:sz w:val="32"/>
          <w:szCs w:val="32"/>
          <w:lang w:val="en-US" w:eastAsia="zh-CN"/>
        </w:rPr>
        <w:t>59</w:t>
      </w:r>
      <w:r>
        <w:rPr>
          <w:rFonts w:hint="eastAsia" w:ascii="仿宋" w:hAnsi="仿宋" w:eastAsia="仿宋" w:cs="仿宋"/>
          <w:spacing w:val="-7"/>
          <w:sz w:val="32"/>
          <w:szCs w:val="32"/>
        </w:rPr>
        <w:t>号</w:t>
      </w:r>
    </w:p>
    <w:p>
      <w:pPr>
        <w:keepNext w:val="0"/>
        <w:keepLines w:val="0"/>
        <w:pageBreakBefore w:val="0"/>
        <w:widowControl/>
        <w:kinsoku/>
        <w:wordWrap/>
        <w:overflowPunct/>
        <w:topLinePunct w:val="0"/>
        <w:autoSpaceDE w:val="0"/>
        <w:autoSpaceDN w:val="0"/>
        <w:bidi w:val="0"/>
        <w:adjustRightInd w:val="0"/>
        <w:snapToGrid w:val="0"/>
        <w:spacing w:line="520" w:lineRule="exact"/>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val="en-US" w:eastAsia="zh-CN"/>
        </w:rPr>
        <w:t>晋江市深沪煌一餐饮服务有限公司</w:t>
      </w:r>
    </w:p>
    <w:p>
      <w:pPr>
        <w:keepNext w:val="0"/>
        <w:keepLines w:val="0"/>
        <w:pageBreakBefore w:val="0"/>
        <w:widowControl/>
        <w:kinsoku/>
        <w:wordWrap/>
        <w:overflowPunct/>
        <w:topLinePunct w:val="0"/>
        <w:autoSpaceDE w:val="0"/>
        <w:autoSpaceDN w:val="0"/>
        <w:bidi w:val="0"/>
        <w:adjustRightInd w:val="0"/>
        <w:snapToGrid w:val="0"/>
        <w:spacing w:line="520" w:lineRule="exact"/>
        <w:jc w:val="both"/>
        <w:textAlignment w:val="baseline"/>
        <w:rPr>
          <w:rFonts w:hint="eastAsia" w:ascii="仿宋" w:hAnsi="仿宋" w:eastAsia="仿宋" w:cs="仿宋"/>
          <w:sz w:val="32"/>
          <w:szCs w:val="32"/>
        </w:rPr>
      </w:pPr>
      <w:r>
        <w:rPr>
          <w:rFonts w:hint="eastAsia" w:ascii="仿宋" w:hAnsi="仿宋" w:eastAsia="仿宋" w:cs="仿宋"/>
          <w:sz w:val="32"/>
          <w:szCs w:val="32"/>
        </w:rPr>
        <w:t>主体资格证照名称：</w:t>
      </w:r>
      <w:r>
        <w:rPr>
          <w:rFonts w:hint="eastAsia" w:ascii="仿宋" w:hAnsi="仿宋" w:eastAsia="仿宋" w:cs="仿宋"/>
          <w:sz w:val="32"/>
          <w:szCs w:val="32"/>
          <w:lang w:eastAsia="zh-CN"/>
        </w:rPr>
        <w:t>营业执照</w:t>
      </w:r>
      <w:r>
        <w:rPr>
          <w:rFonts w:hint="eastAsia" w:ascii="仿宋" w:hAnsi="仿宋" w:eastAsia="仿宋" w:cs="仿宋"/>
          <w:sz w:val="32"/>
          <w:szCs w:val="32"/>
        </w:rPr>
        <w:t xml:space="preserve">  </w:t>
      </w:r>
    </w:p>
    <w:p>
      <w:pPr>
        <w:keepNext w:val="0"/>
        <w:keepLines w:val="0"/>
        <w:pageBreakBefore w:val="0"/>
        <w:widowControl/>
        <w:kinsoku/>
        <w:wordWrap/>
        <w:overflowPunct/>
        <w:topLinePunct w:val="0"/>
        <w:autoSpaceDE w:val="0"/>
        <w:autoSpaceDN w:val="0"/>
        <w:bidi w:val="0"/>
        <w:adjustRightInd w:val="0"/>
        <w:snapToGrid w:val="0"/>
        <w:spacing w:line="520" w:lineRule="exact"/>
        <w:jc w:val="both"/>
        <w:textAlignment w:val="baseline"/>
        <w:rPr>
          <w:rFonts w:hint="eastAsia" w:ascii="仿宋" w:hAnsi="仿宋" w:eastAsia="仿宋" w:cs="仿宋"/>
          <w:sz w:val="32"/>
          <w:szCs w:val="32"/>
        </w:rPr>
      </w:pPr>
      <w:r>
        <w:rPr>
          <w:rFonts w:hint="eastAsia" w:ascii="仿宋" w:hAnsi="仿宋" w:eastAsia="仿宋" w:cs="仿宋"/>
          <w:sz w:val="32"/>
          <w:szCs w:val="32"/>
        </w:rPr>
        <w:t>统一社会信用代码：9</w:t>
      </w:r>
      <w:r>
        <w:rPr>
          <w:rFonts w:hint="eastAsia" w:ascii="仿宋" w:hAnsi="仿宋" w:eastAsia="仿宋" w:cs="仿宋"/>
          <w:sz w:val="32"/>
          <w:szCs w:val="32"/>
          <w:lang w:val="en-US" w:eastAsia="zh-CN"/>
        </w:rPr>
        <w:t>1350582MA34X3LN60</w:t>
      </w:r>
    </w:p>
    <w:p>
      <w:pPr>
        <w:keepNext w:val="0"/>
        <w:keepLines w:val="0"/>
        <w:pageBreakBefore w:val="0"/>
        <w:widowControl/>
        <w:kinsoku/>
        <w:wordWrap/>
        <w:overflowPunct/>
        <w:topLinePunct w:val="0"/>
        <w:autoSpaceDE w:val="0"/>
        <w:autoSpaceDN w:val="0"/>
        <w:bidi w:val="0"/>
        <w:adjustRightInd w:val="0"/>
        <w:snapToGrid w:val="0"/>
        <w:spacing w:line="520" w:lineRule="exact"/>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经营场所</w:t>
      </w:r>
      <w:r>
        <w:rPr>
          <w:rFonts w:hint="eastAsia" w:ascii="仿宋" w:hAnsi="仿宋" w:eastAsia="仿宋" w:cs="仿宋"/>
          <w:sz w:val="32"/>
          <w:szCs w:val="32"/>
        </w:rPr>
        <w:t>：晋江市深沪镇</w:t>
      </w:r>
      <w:r>
        <w:rPr>
          <w:rFonts w:hint="eastAsia" w:ascii="仿宋" w:hAnsi="仿宋" w:eastAsia="仿宋" w:cs="仿宋"/>
          <w:sz w:val="32"/>
          <w:szCs w:val="32"/>
          <w:lang w:val="en-US" w:eastAsia="zh-CN"/>
        </w:rPr>
        <w:t>******</w:t>
      </w:r>
      <w:bookmarkStart w:id="0" w:name="_GoBack"/>
      <w:bookmarkEnd w:id="0"/>
    </w:p>
    <w:p>
      <w:pPr>
        <w:keepNext w:val="0"/>
        <w:keepLines w:val="0"/>
        <w:pageBreakBefore w:val="0"/>
        <w:widowControl/>
        <w:kinsoku/>
        <w:wordWrap/>
        <w:overflowPunct/>
        <w:topLinePunct w:val="0"/>
        <w:autoSpaceDE w:val="0"/>
        <w:autoSpaceDN w:val="0"/>
        <w:bidi w:val="0"/>
        <w:adjustRightInd w:val="0"/>
        <w:snapToGrid w:val="0"/>
        <w:spacing w:line="520" w:lineRule="exact"/>
        <w:jc w:val="both"/>
        <w:textAlignment w:val="baseline"/>
        <w:rPr>
          <w:rFonts w:hint="eastAsia" w:ascii="仿宋" w:hAnsi="仿宋" w:eastAsia="仿宋" w:cs="仿宋"/>
          <w:sz w:val="32"/>
          <w:szCs w:val="32"/>
        </w:rPr>
      </w:pPr>
      <w:r>
        <w:rPr>
          <w:rFonts w:hint="eastAsia" w:ascii="仿宋" w:hAnsi="仿宋" w:eastAsia="仿宋" w:cs="仿宋"/>
          <w:sz w:val="32"/>
          <w:szCs w:val="32"/>
          <w:lang w:eastAsia="zh-CN"/>
        </w:rPr>
        <w:t>法定代表人：</w:t>
      </w:r>
      <w:r>
        <w:rPr>
          <w:rFonts w:hint="eastAsia" w:ascii="仿宋" w:hAnsi="仿宋" w:eastAsia="仿宋" w:cs="仿宋"/>
          <w:sz w:val="32"/>
          <w:szCs w:val="32"/>
          <w:lang w:val="en-US" w:eastAsia="zh-CN"/>
        </w:rPr>
        <w:t>蔡一俊</w:t>
      </w:r>
      <w:r>
        <w:rPr>
          <w:rFonts w:hint="eastAsia" w:ascii="仿宋" w:hAnsi="仿宋" w:eastAsia="仿宋" w:cs="仿宋"/>
          <w:sz w:val="32"/>
          <w:szCs w:val="32"/>
        </w:rPr>
        <w:t xml:space="preserve">                          </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lang w:eastAsia="zh-CN"/>
        </w:rPr>
      </w:pPr>
      <w:r>
        <w:rPr>
          <w:rFonts w:hint="eastAsia" w:ascii="仿宋" w:hAnsi="仿宋" w:eastAsia="仿宋" w:cs="仿宋"/>
          <w:sz w:val="32"/>
          <w:szCs w:val="32"/>
          <w:lang w:val="en-US" w:eastAsia="zh-CN"/>
        </w:rPr>
        <w:t>接到</w:t>
      </w:r>
      <w:r>
        <w:rPr>
          <w:rFonts w:hint="eastAsia" w:ascii="仿宋" w:hAnsi="仿宋" w:eastAsia="仿宋" w:cs="仿宋"/>
          <w:sz w:val="32"/>
          <w:szCs w:val="32"/>
        </w:rPr>
        <w:t>关于核查监督抽检晋江市深沪</w:t>
      </w:r>
      <w:r>
        <w:rPr>
          <w:rFonts w:hint="eastAsia" w:ascii="仿宋" w:hAnsi="仿宋" w:eastAsia="仿宋" w:cs="仿宋"/>
          <w:sz w:val="32"/>
          <w:szCs w:val="32"/>
          <w:lang w:val="en-US" w:eastAsia="zh-CN"/>
        </w:rPr>
        <w:t>煌一餐饮服务有限公司</w:t>
      </w:r>
      <w:r>
        <w:rPr>
          <w:rFonts w:hint="eastAsia" w:ascii="仿宋" w:hAnsi="仿宋" w:eastAsia="仿宋" w:cs="仿宋"/>
          <w:sz w:val="32"/>
          <w:szCs w:val="32"/>
        </w:rPr>
        <w:t>生产的不合格食品的通知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称当事人生产的肉丸（生产日期2025.5.25）在食品安全监督抽检中，经检验，过氧化值（以脂肪计）项目（检出值：0.31g/100g）不符合GB 19295-2021《食品安全国家标准 速冻面米与调制食品》的要求，检验结论为不合格。</w:t>
      </w: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6</w:t>
      </w:r>
      <w:r>
        <w:rPr>
          <w:rFonts w:hint="eastAsia" w:ascii="仿宋" w:hAnsi="仿宋" w:eastAsia="仿宋" w:cs="仿宋"/>
          <w:sz w:val="32"/>
          <w:szCs w:val="32"/>
        </w:rPr>
        <w:t>月</w:t>
      </w:r>
      <w:r>
        <w:rPr>
          <w:rFonts w:hint="eastAsia" w:ascii="仿宋" w:hAnsi="仿宋" w:eastAsia="仿宋" w:cs="仿宋"/>
          <w:sz w:val="32"/>
          <w:szCs w:val="32"/>
          <w:lang w:val="en-US" w:eastAsia="zh-CN"/>
        </w:rPr>
        <w:t>25</w:t>
      </w:r>
      <w:r>
        <w:rPr>
          <w:rFonts w:hint="eastAsia" w:ascii="仿宋" w:hAnsi="仿宋" w:eastAsia="仿宋" w:cs="仿宋"/>
          <w:sz w:val="32"/>
          <w:szCs w:val="32"/>
        </w:rPr>
        <w:t>日,</w:t>
      </w:r>
      <w:r>
        <w:rPr>
          <w:rFonts w:hint="eastAsia" w:ascii="仿宋" w:hAnsi="仿宋" w:eastAsia="仿宋" w:cs="仿宋"/>
          <w:sz w:val="32"/>
          <w:szCs w:val="32"/>
          <w:lang w:eastAsia="zh-CN"/>
        </w:rPr>
        <w:t>本局深沪</w:t>
      </w:r>
      <w:r>
        <w:rPr>
          <w:rFonts w:hint="eastAsia" w:ascii="仿宋" w:hAnsi="仿宋" w:eastAsia="仿宋" w:cs="仿宋"/>
          <w:sz w:val="32"/>
          <w:szCs w:val="32"/>
        </w:rPr>
        <w:t>所执法人员依法对</w:t>
      </w:r>
      <w:r>
        <w:rPr>
          <w:rFonts w:hint="eastAsia" w:ascii="仿宋" w:hAnsi="仿宋" w:eastAsia="仿宋" w:cs="仿宋"/>
          <w:sz w:val="32"/>
          <w:szCs w:val="32"/>
          <w:lang w:val="en-US" w:eastAsia="zh-CN"/>
        </w:rPr>
        <w:t>当事人</w:t>
      </w:r>
      <w:r>
        <w:rPr>
          <w:rFonts w:hint="eastAsia" w:ascii="仿宋" w:hAnsi="仿宋" w:eastAsia="仿宋" w:cs="仿宋"/>
          <w:sz w:val="32"/>
          <w:szCs w:val="32"/>
        </w:rPr>
        <w:t>生产经营场所进行</w:t>
      </w:r>
      <w:r>
        <w:rPr>
          <w:rFonts w:hint="eastAsia" w:ascii="仿宋" w:hAnsi="仿宋" w:eastAsia="仿宋" w:cs="仿宋"/>
          <w:sz w:val="32"/>
          <w:szCs w:val="32"/>
          <w:lang w:eastAsia="zh-CN"/>
        </w:rPr>
        <w:t>执法</w:t>
      </w:r>
      <w:r>
        <w:rPr>
          <w:rFonts w:hint="eastAsia" w:ascii="仿宋" w:hAnsi="仿宋" w:eastAsia="仿宋" w:cs="仿宋"/>
          <w:sz w:val="32"/>
          <w:szCs w:val="32"/>
        </w:rPr>
        <w:t>检查并送达</w:t>
      </w:r>
      <w:r>
        <w:rPr>
          <w:rFonts w:hint="eastAsia" w:ascii="仿宋" w:hAnsi="仿宋" w:eastAsia="仿宋" w:cs="仿宋"/>
          <w:sz w:val="32"/>
          <w:szCs w:val="32"/>
          <w:lang w:val="en-US" w:eastAsia="zh-CN"/>
        </w:rPr>
        <w:t>上述肉丸监督抽检</w:t>
      </w:r>
      <w:r>
        <w:rPr>
          <w:rFonts w:hint="eastAsia" w:ascii="仿宋" w:hAnsi="仿宋" w:eastAsia="仿宋" w:cs="仿宋"/>
          <w:sz w:val="32"/>
          <w:szCs w:val="32"/>
        </w:rPr>
        <w:t>检验报告（</w:t>
      </w:r>
      <w:r>
        <w:rPr>
          <w:rFonts w:hint="eastAsia" w:ascii="仿宋" w:hAnsi="仿宋" w:eastAsia="仿宋" w:cs="仿宋"/>
          <w:sz w:val="32"/>
          <w:szCs w:val="32"/>
          <w:lang w:val="en-US" w:eastAsia="zh-CN"/>
        </w:rPr>
        <w:t>№: HY（2025）0889</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当事人当场签收，对检验结果</w:t>
      </w:r>
      <w:r>
        <w:rPr>
          <w:rFonts w:hint="eastAsia" w:ascii="仿宋" w:hAnsi="仿宋" w:eastAsia="仿宋" w:cs="仿宋"/>
          <w:sz w:val="32"/>
          <w:szCs w:val="32"/>
        </w:rPr>
        <w:t>没有异议</w:t>
      </w:r>
      <w:r>
        <w:rPr>
          <w:rFonts w:hint="eastAsia" w:ascii="仿宋" w:hAnsi="仿宋" w:eastAsia="仿宋" w:cs="仿宋"/>
          <w:sz w:val="32"/>
          <w:szCs w:val="32"/>
          <w:lang w:eastAsia="zh-CN"/>
        </w:rPr>
        <w:t>，</w:t>
      </w:r>
      <w:r>
        <w:rPr>
          <w:rFonts w:hint="eastAsia" w:ascii="仿宋" w:hAnsi="仿宋" w:eastAsia="仿宋" w:cs="仿宋"/>
          <w:sz w:val="32"/>
          <w:szCs w:val="32"/>
        </w:rPr>
        <w:t>在规定时间内也没有提出复检申请。现场</w:t>
      </w:r>
      <w:r>
        <w:rPr>
          <w:rFonts w:hint="eastAsia" w:ascii="仿宋" w:hAnsi="仿宋" w:eastAsia="仿宋" w:cs="仿宋"/>
          <w:sz w:val="32"/>
          <w:szCs w:val="32"/>
          <w:lang w:eastAsia="zh-CN"/>
        </w:rPr>
        <w:t>检查</w:t>
      </w:r>
      <w:r>
        <w:rPr>
          <w:rFonts w:hint="eastAsia" w:ascii="仿宋" w:hAnsi="仿宋" w:eastAsia="仿宋" w:cs="仿宋"/>
          <w:sz w:val="32"/>
          <w:szCs w:val="32"/>
        </w:rPr>
        <w:t>未发现</w:t>
      </w:r>
      <w:r>
        <w:rPr>
          <w:rFonts w:hint="eastAsia" w:ascii="仿宋" w:hAnsi="仿宋" w:eastAsia="仿宋" w:cs="仿宋"/>
          <w:sz w:val="32"/>
          <w:szCs w:val="32"/>
          <w:lang w:eastAsia="zh-CN"/>
        </w:rPr>
        <w:t>有与</w:t>
      </w:r>
      <w:r>
        <w:rPr>
          <w:rFonts w:hint="eastAsia" w:ascii="仿宋" w:hAnsi="仿宋" w:eastAsia="仿宋" w:cs="仿宋"/>
          <w:sz w:val="32"/>
          <w:szCs w:val="32"/>
          <w:lang w:val="en-US" w:eastAsia="zh-CN"/>
        </w:rPr>
        <w:t>2025年5月27日监督抽检同批次及其他批次的肉丸产品</w:t>
      </w:r>
      <w:r>
        <w:rPr>
          <w:rFonts w:hint="eastAsia" w:ascii="仿宋" w:hAnsi="仿宋" w:eastAsia="仿宋" w:cs="仿宋"/>
          <w:sz w:val="32"/>
          <w:szCs w:val="32"/>
        </w:rPr>
        <w:t>库存</w:t>
      </w:r>
      <w:r>
        <w:rPr>
          <w:rFonts w:hint="eastAsia" w:ascii="仿宋" w:hAnsi="仿宋" w:eastAsia="仿宋" w:cs="仿宋"/>
          <w:sz w:val="32"/>
          <w:szCs w:val="32"/>
          <w:lang w:eastAsia="zh-CN"/>
        </w:rPr>
        <w:t>。</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经查实，当事人</w:t>
      </w:r>
      <w:r>
        <w:rPr>
          <w:rFonts w:hint="eastAsia" w:ascii="仿宋" w:hAnsi="仿宋" w:eastAsia="仿宋" w:cs="仿宋"/>
          <w:sz w:val="32"/>
          <w:szCs w:val="32"/>
          <w:lang w:val="en-US" w:eastAsia="zh-CN"/>
        </w:rPr>
        <w:t>持有营业执照和</w:t>
      </w:r>
      <w:r>
        <w:rPr>
          <w:rFonts w:hint="eastAsia" w:ascii="仿宋" w:hAnsi="仿宋" w:eastAsia="仿宋" w:cs="仿宋"/>
          <w:sz w:val="32"/>
          <w:szCs w:val="32"/>
        </w:rPr>
        <w:t>福建省食品生产加工小作坊</w:t>
      </w:r>
      <w:r>
        <w:rPr>
          <w:rFonts w:hint="eastAsia" w:ascii="仿宋" w:hAnsi="仿宋" w:eastAsia="仿宋" w:cs="仿宋"/>
          <w:sz w:val="32"/>
          <w:szCs w:val="32"/>
          <w:lang w:eastAsia="zh-CN"/>
        </w:rPr>
        <w:t>登记证（</w:t>
      </w:r>
      <w:r>
        <w:rPr>
          <w:rFonts w:hint="eastAsia" w:ascii="仿宋" w:hAnsi="仿宋" w:eastAsia="仿宋" w:cs="仿宋"/>
          <w:sz w:val="32"/>
          <w:szCs w:val="32"/>
        </w:rPr>
        <w:t>证</w:t>
      </w:r>
      <w:r>
        <w:rPr>
          <w:rFonts w:hint="eastAsia" w:ascii="仿宋" w:hAnsi="仿宋" w:eastAsia="仿宋" w:cs="仿宋"/>
          <w:sz w:val="32"/>
          <w:szCs w:val="32"/>
          <w:lang w:eastAsia="zh-CN"/>
        </w:rPr>
        <w:t>号：食坊字第</w:t>
      </w:r>
      <w:r>
        <w:rPr>
          <w:rFonts w:hint="eastAsia" w:ascii="仿宋" w:hAnsi="仿宋" w:eastAsia="仿宋" w:cs="仿宋"/>
          <w:sz w:val="32"/>
          <w:szCs w:val="32"/>
          <w:lang w:val="en-US" w:eastAsia="zh-CN"/>
        </w:rPr>
        <w:t>3505820190号</w:t>
      </w:r>
      <w:r>
        <w:rPr>
          <w:rFonts w:hint="eastAsia" w:ascii="仿宋" w:hAnsi="仿宋" w:eastAsia="仿宋" w:cs="仿宋"/>
          <w:sz w:val="32"/>
          <w:szCs w:val="32"/>
        </w:rPr>
        <w:t>，生产品种:</w:t>
      </w:r>
      <w:r>
        <w:rPr>
          <w:rFonts w:hint="eastAsia" w:ascii="仿宋" w:hAnsi="仿宋" w:eastAsia="仿宋" w:cs="仿宋"/>
          <w:sz w:val="32"/>
          <w:szCs w:val="32"/>
          <w:lang w:val="en-US" w:eastAsia="zh-CN"/>
        </w:rPr>
        <w:t>肉制品、鱼糜制品（鱼丸、肉丸）</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证书</w:t>
      </w:r>
      <w:r>
        <w:rPr>
          <w:rFonts w:hint="eastAsia" w:ascii="仿宋" w:hAnsi="仿宋" w:eastAsia="仿宋" w:cs="仿宋"/>
          <w:sz w:val="32"/>
          <w:szCs w:val="32"/>
        </w:rPr>
        <w:t>有效期至</w:t>
      </w:r>
      <w:r>
        <w:rPr>
          <w:rFonts w:hint="eastAsia" w:ascii="仿宋" w:hAnsi="仿宋" w:eastAsia="仿宋" w:cs="仿宋"/>
          <w:sz w:val="32"/>
          <w:szCs w:val="32"/>
          <w:lang w:val="en-US" w:eastAsia="zh-CN"/>
        </w:rPr>
        <w:t>2027年01月25日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当事人在食品安全监督抽检中，经检验过氧化值（以脂肪计）项目（检出值为0.31</w:t>
      </w:r>
      <w:r>
        <w:rPr>
          <w:rFonts w:hint="eastAsia" w:ascii="仿宋" w:hAnsi="仿宋" w:eastAsia="仿宋" w:cs="仿宋"/>
          <w:sz w:val="32"/>
          <w:szCs w:val="32"/>
        </w:rPr>
        <w:t>g/</w:t>
      </w:r>
      <w:r>
        <w:rPr>
          <w:rFonts w:hint="eastAsia" w:ascii="仿宋" w:hAnsi="仿宋" w:eastAsia="仿宋" w:cs="仿宋"/>
          <w:sz w:val="32"/>
          <w:szCs w:val="32"/>
          <w:lang w:val="en-US" w:eastAsia="zh-CN"/>
        </w:rPr>
        <w:t>100</w:t>
      </w:r>
      <w:r>
        <w:rPr>
          <w:rFonts w:hint="eastAsia" w:ascii="仿宋" w:hAnsi="仿宋" w:eastAsia="仿宋" w:cs="仿宋"/>
          <w:sz w:val="32"/>
          <w:szCs w:val="32"/>
        </w:rPr>
        <w:t>g</w:t>
      </w:r>
      <w:r>
        <w:rPr>
          <w:rFonts w:hint="eastAsia" w:ascii="仿宋" w:hAnsi="仿宋" w:eastAsia="仿宋" w:cs="仿宋"/>
          <w:sz w:val="32"/>
          <w:szCs w:val="32"/>
          <w:lang w:val="en-US" w:eastAsia="zh-CN"/>
        </w:rPr>
        <w:t>）不合格的肉丸产品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生产日期：2025.5.25，规格：散装称重），生产数量共6kg，</w:t>
      </w:r>
      <w:r>
        <w:rPr>
          <w:rFonts w:hint="eastAsia" w:ascii="仿宋" w:hAnsi="仿宋" w:eastAsia="仿宋" w:cs="仿宋"/>
          <w:sz w:val="32"/>
          <w:szCs w:val="32"/>
        </w:rPr>
        <w:t>成本价</w:t>
      </w:r>
      <w:r>
        <w:rPr>
          <w:rFonts w:hint="eastAsia" w:ascii="仿宋" w:hAnsi="仿宋" w:eastAsia="仿宋" w:cs="仿宋"/>
          <w:sz w:val="32"/>
          <w:szCs w:val="32"/>
          <w:lang w:val="en-US" w:eastAsia="zh-CN"/>
        </w:rPr>
        <w:t>20</w:t>
      </w:r>
      <w:r>
        <w:rPr>
          <w:rFonts w:hint="eastAsia" w:ascii="仿宋" w:hAnsi="仿宋" w:eastAsia="仿宋" w:cs="仿宋"/>
          <w:sz w:val="32"/>
          <w:szCs w:val="32"/>
        </w:rPr>
        <w:t>元/</w:t>
      </w:r>
      <w:r>
        <w:rPr>
          <w:rFonts w:hint="eastAsia" w:ascii="仿宋" w:hAnsi="仿宋" w:eastAsia="仿宋" w:cs="仿宋"/>
          <w:sz w:val="32"/>
          <w:szCs w:val="32"/>
          <w:lang w:val="en-US" w:eastAsia="zh-CN"/>
        </w:rPr>
        <w:t>kg</w:t>
      </w:r>
      <w:r>
        <w:rPr>
          <w:rFonts w:hint="eastAsia" w:ascii="仿宋" w:hAnsi="仿宋" w:eastAsia="仿宋" w:cs="仿宋"/>
          <w:sz w:val="32"/>
          <w:szCs w:val="32"/>
        </w:rPr>
        <w:t>，</w:t>
      </w:r>
      <w:r>
        <w:rPr>
          <w:rFonts w:hint="eastAsia" w:ascii="仿宋" w:hAnsi="仿宋" w:eastAsia="仿宋" w:cs="仿宋"/>
          <w:sz w:val="32"/>
          <w:szCs w:val="32"/>
          <w:lang w:val="en-US" w:eastAsia="zh-CN"/>
        </w:rPr>
        <w:t>售价50元/kg，已全部售出，其中用于监督抽检数量为2.5kg。</w:t>
      </w:r>
      <w:r>
        <w:rPr>
          <w:rFonts w:hint="eastAsia" w:ascii="仿宋" w:hAnsi="仿宋" w:eastAsia="仿宋" w:cs="仿宋"/>
          <w:sz w:val="32"/>
          <w:szCs w:val="32"/>
        </w:rPr>
        <w:t>当事人于202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6</w:t>
      </w:r>
      <w:r>
        <w:rPr>
          <w:rFonts w:hint="eastAsia" w:ascii="仿宋" w:hAnsi="仿宋" w:eastAsia="仿宋" w:cs="仿宋"/>
          <w:sz w:val="32"/>
          <w:szCs w:val="32"/>
        </w:rPr>
        <w:t>月2</w:t>
      </w:r>
      <w:r>
        <w:rPr>
          <w:rFonts w:hint="eastAsia" w:ascii="仿宋" w:hAnsi="仿宋" w:eastAsia="仿宋" w:cs="仿宋"/>
          <w:sz w:val="32"/>
          <w:szCs w:val="32"/>
          <w:lang w:val="en-US" w:eastAsia="zh-CN"/>
        </w:rPr>
        <w:t>5</w:t>
      </w:r>
      <w:r>
        <w:rPr>
          <w:rFonts w:hint="eastAsia" w:ascii="仿宋" w:hAnsi="仿宋" w:eastAsia="仿宋" w:cs="仿宋"/>
          <w:sz w:val="32"/>
          <w:szCs w:val="32"/>
        </w:rPr>
        <w:t>日开展召回工作，截至202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23</w:t>
      </w:r>
      <w:r>
        <w:rPr>
          <w:rFonts w:hint="eastAsia" w:ascii="仿宋" w:hAnsi="仿宋" w:eastAsia="仿宋" w:cs="仿宋"/>
          <w:sz w:val="32"/>
          <w:szCs w:val="32"/>
        </w:rPr>
        <w:t>日</w:t>
      </w:r>
      <w:r>
        <w:rPr>
          <w:rFonts w:hint="eastAsia" w:ascii="仿宋" w:hAnsi="仿宋" w:eastAsia="仿宋" w:cs="仿宋"/>
          <w:sz w:val="32"/>
          <w:szCs w:val="32"/>
          <w:lang w:eastAsia="zh-CN"/>
        </w:rPr>
        <w:t>召回期满</w:t>
      </w:r>
      <w:r>
        <w:rPr>
          <w:rFonts w:hint="eastAsia" w:ascii="仿宋" w:hAnsi="仿宋" w:eastAsia="仿宋" w:cs="仿宋"/>
          <w:sz w:val="32"/>
          <w:szCs w:val="32"/>
        </w:rPr>
        <w:t>，召回数为0</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当事人生产加工的上述批次肉丸为包心肉丸，其中皮料的原料是：鲜猪肉、马铃薯淀粉、食盐、味精、白砂糖、水；馅料是由鲜猪肉、食盐、味精、白砂糖经油炸炒制作而成的</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经排查分析，当事人生产加工的上述批次肉丸产品不合格的原因是其在制作馅料时油炸炒制时间过长，且天气较热,该批次肉丸产品生产加工制作好后未及时进行冷冻保存所造成的。</w:t>
      </w:r>
      <w:r>
        <w:rPr>
          <w:rFonts w:hint="eastAsia" w:ascii="仿宋" w:hAnsi="仿宋" w:eastAsia="仿宋" w:cs="仿宋"/>
          <w:sz w:val="32"/>
          <w:szCs w:val="32"/>
        </w:rPr>
        <w:t>据此认定，本案涉案货值</w:t>
      </w:r>
      <w:r>
        <w:rPr>
          <w:rFonts w:hint="eastAsia" w:ascii="仿宋" w:hAnsi="仿宋" w:eastAsia="仿宋" w:cs="仿宋"/>
          <w:sz w:val="32"/>
          <w:szCs w:val="32"/>
          <w:lang w:val="en-US" w:eastAsia="zh-CN"/>
        </w:rPr>
        <w:t>300</w:t>
      </w:r>
      <w:r>
        <w:rPr>
          <w:rFonts w:hint="eastAsia" w:ascii="仿宋" w:hAnsi="仿宋" w:eastAsia="仿宋" w:cs="仿宋"/>
          <w:sz w:val="32"/>
          <w:szCs w:val="32"/>
        </w:rPr>
        <w:t>元，</w:t>
      </w:r>
      <w:r>
        <w:rPr>
          <w:rFonts w:hint="eastAsia" w:ascii="仿宋" w:hAnsi="仿宋" w:eastAsia="仿宋" w:cs="仿宋"/>
          <w:sz w:val="32"/>
          <w:szCs w:val="32"/>
          <w:lang w:val="en-US" w:eastAsia="zh-CN"/>
        </w:rPr>
        <w:t>违法所得300元</w:t>
      </w:r>
      <w:r>
        <w:rPr>
          <w:rFonts w:hint="eastAsia" w:ascii="仿宋" w:hAnsi="仿宋" w:eastAsia="仿宋" w:cs="仿宋"/>
          <w:sz w:val="32"/>
          <w:szCs w:val="32"/>
        </w:rPr>
        <w:t>。</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上述事实，主要有</w:t>
      </w:r>
      <w:r>
        <w:rPr>
          <w:rFonts w:hint="eastAsia" w:ascii="仿宋" w:hAnsi="仿宋" w:eastAsia="仿宋" w:cs="仿宋"/>
          <w:sz w:val="32"/>
          <w:szCs w:val="32"/>
          <w:lang w:val="en-US" w:eastAsia="zh-CN"/>
        </w:rPr>
        <w:t>涉案肉丸</w:t>
      </w:r>
      <w:r>
        <w:rPr>
          <w:rFonts w:hint="eastAsia" w:ascii="仿宋" w:hAnsi="仿宋" w:eastAsia="仿宋" w:cs="仿宋"/>
          <w:sz w:val="32"/>
          <w:szCs w:val="32"/>
          <w:lang w:eastAsia="zh-CN"/>
        </w:rPr>
        <w:t>食品安全</w:t>
      </w:r>
      <w:r>
        <w:rPr>
          <w:rFonts w:hint="eastAsia" w:ascii="仿宋" w:hAnsi="仿宋" w:eastAsia="仿宋" w:cs="仿宋"/>
          <w:sz w:val="32"/>
          <w:szCs w:val="32"/>
          <w:lang w:val="en-US" w:eastAsia="zh-CN"/>
        </w:rPr>
        <w:t>监督抽检报告及</w:t>
      </w:r>
      <w:r>
        <w:rPr>
          <w:rFonts w:hint="eastAsia" w:ascii="仿宋" w:hAnsi="仿宋" w:eastAsia="仿宋" w:cs="仿宋"/>
          <w:sz w:val="32"/>
          <w:szCs w:val="32"/>
          <w:lang w:eastAsia="zh-CN"/>
        </w:rPr>
        <w:t>抽样</w:t>
      </w:r>
      <w:r>
        <w:rPr>
          <w:rFonts w:hint="eastAsia" w:ascii="仿宋" w:hAnsi="仿宋" w:eastAsia="仿宋" w:cs="仿宋"/>
          <w:sz w:val="32"/>
          <w:szCs w:val="32"/>
        </w:rPr>
        <w:t>检验抽样单</w:t>
      </w:r>
      <w:r>
        <w:rPr>
          <w:rFonts w:hint="eastAsia" w:ascii="仿宋" w:hAnsi="仿宋" w:eastAsia="仿宋" w:cs="仿宋"/>
          <w:sz w:val="32"/>
          <w:szCs w:val="32"/>
          <w:lang w:eastAsia="zh-CN"/>
        </w:rPr>
        <w:t>、</w:t>
      </w:r>
      <w:r>
        <w:rPr>
          <w:rFonts w:hint="eastAsia" w:ascii="仿宋" w:hAnsi="仿宋" w:eastAsia="仿宋" w:cs="仿宋"/>
          <w:sz w:val="32"/>
          <w:szCs w:val="32"/>
        </w:rPr>
        <w:t>当事人营业执照、福建省食品生产加工小作坊</w:t>
      </w:r>
      <w:r>
        <w:rPr>
          <w:rFonts w:hint="eastAsia" w:ascii="仿宋" w:hAnsi="仿宋" w:eastAsia="仿宋" w:cs="仿宋"/>
          <w:sz w:val="32"/>
          <w:szCs w:val="32"/>
          <w:lang w:eastAsia="zh-CN"/>
        </w:rPr>
        <w:t>登记证、经营者</w:t>
      </w:r>
      <w:r>
        <w:rPr>
          <w:rFonts w:hint="eastAsia" w:ascii="仿宋" w:hAnsi="仿宋" w:eastAsia="仿宋" w:cs="仿宋"/>
          <w:sz w:val="32"/>
          <w:szCs w:val="32"/>
        </w:rPr>
        <w:t>身份证复印件</w:t>
      </w:r>
      <w:r>
        <w:rPr>
          <w:rFonts w:hint="eastAsia" w:ascii="仿宋" w:hAnsi="仿宋" w:eastAsia="仿宋" w:cs="仿宋"/>
          <w:sz w:val="32"/>
          <w:szCs w:val="32"/>
          <w:lang w:eastAsia="zh-CN"/>
        </w:rPr>
        <w:t>、</w:t>
      </w:r>
      <w:r>
        <w:rPr>
          <w:rFonts w:hint="eastAsia" w:ascii="仿宋" w:hAnsi="仿宋" w:eastAsia="仿宋" w:cs="仿宋"/>
          <w:sz w:val="32"/>
          <w:szCs w:val="32"/>
        </w:rPr>
        <w:t>现场检查笔录及照片</w:t>
      </w:r>
      <w:r>
        <w:rPr>
          <w:rFonts w:hint="eastAsia" w:ascii="仿宋" w:hAnsi="仿宋" w:eastAsia="仿宋" w:cs="仿宋"/>
          <w:sz w:val="32"/>
          <w:szCs w:val="32"/>
          <w:lang w:eastAsia="zh-CN"/>
        </w:rPr>
        <w:t>、询问笔录</w:t>
      </w:r>
      <w:r>
        <w:rPr>
          <w:rFonts w:hint="eastAsia" w:ascii="仿宋" w:hAnsi="仿宋" w:eastAsia="仿宋" w:cs="仿宋"/>
          <w:sz w:val="32"/>
          <w:szCs w:val="32"/>
          <w:lang w:val="en-US" w:eastAsia="zh-CN"/>
        </w:rPr>
        <w:t>、投料记录、进货票据、进货台账、食品召回计划报告表、食品召回公告及照片、召回总结、</w:t>
      </w:r>
      <w:r>
        <w:rPr>
          <w:rFonts w:hint="eastAsia" w:ascii="仿宋" w:hAnsi="仿宋" w:eastAsia="仿宋" w:cs="仿宋"/>
          <w:sz w:val="32"/>
          <w:szCs w:val="32"/>
        </w:rPr>
        <w:t>食品原料供货商资质、食品原料检验报告等证据证实。</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8</w:t>
      </w:r>
      <w:r>
        <w:rPr>
          <w:rFonts w:hint="eastAsia" w:ascii="仿宋" w:hAnsi="仿宋" w:eastAsia="仿宋" w:cs="仿宋"/>
          <w:sz w:val="32"/>
          <w:szCs w:val="32"/>
        </w:rPr>
        <w:t>月</w:t>
      </w:r>
      <w:r>
        <w:rPr>
          <w:rFonts w:hint="eastAsia" w:ascii="仿宋" w:hAnsi="仿宋" w:eastAsia="仿宋" w:cs="仿宋"/>
          <w:sz w:val="32"/>
          <w:szCs w:val="32"/>
          <w:lang w:val="en-US" w:eastAsia="zh-CN"/>
        </w:rPr>
        <w:t>8</w:t>
      </w:r>
      <w:r>
        <w:rPr>
          <w:rFonts w:hint="eastAsia" w:ascii="仿宋" w:hAnsi="仿宋" w:eastAsia="仿宋" w:cs="仿宋"/>
          <w:sz w:val="32"/>
          <w:szCs w:val="32"/>
        </w:rPr>
        <w:t>日，本局向当事人送达了《行政处罚告知书》（晋市监</w:t>
      </w:r>
      <w:r>
        <w:rPr>
          <w:rFonts w:hint="eastAsia" w:ascii="仿宋" w:hAnsi="仿宋" w:eastAsia="仿宋" w:cs="仿宋"/>
          <w:sz w:val="32"/>
          <w:szCs w:val="32"/>
          <w:lang w:eastAsia="zh-CN"/>
        </w:rPr>
        <w:t>罚</w:t>
      </w:r>
      <w:r>
        <w:rPr>
          <w:rFonts w:hint="eastAsia" w:ascii="仿宋" w:hAnsi="仿宋" w:eastAsia="仿宋" w:cs="仿宋"/>
          <w:sz w:val="32"/>
          <w:szCs w:val="32"/>
        </w:rPr>
        <w:t>告〔20</w:t>
      </w:r>
      <w:r>
        <w:rPr>
          <w:rFonts w:hint="eastAsia" w:ascii="仿宋" w:hAnsi="仿宋" w:eastAsia="仿宋" w:cs="仿宋"/>
          <w:sz w:val="32"/>
          <w:szCs w:val="32"/>
          <w:lang w:val="en-US" w:eastAsia="zh-CN"/>
        </w:rPr>
        <w:t>25</w:t>
      </w:r>
      <w:r>
        <w:rPr>
          <w:rFonts w:hint="eastAsia" w:ascii="仿宋" w:hAnsi="仿宋" w:eastAsia="仿宋" w:cs="仿宋"/>
          <w:sz w:val="32"/>
          <w:szCs w:val="32"/>
        </w:rPr>
        <w:t>〕10-</w:t>
      </w:r>
      <w:r>
        <w:rPr>
          <w:rFonts w:hint="eastAsia" w:ascii="仿宋" w:hAnsi="仿宋" w:eastAsia="仿宋" w:cs="仿宋"/>
          <w:sz w:val="32"/>
          <w:szCs w:val="32"/>
          <w:lang w:val="en-US" w:eastAsia="zh-CN"/>
        </w:rPr>
        <w:t>059</w:t>
      </w:r>
      <w:r>
        <w:rPr>
          <w:rFonts w:hint="eastAsia" w:ascii="仿宋" w:hAnsi="仿宋" w:eastAsia="仿宋" w:cs="仿宋"/>
          <w:sz w:val="32"/>
          <w:szCs w:val="32"/>
        </w:rPr>
        <w:t>号），当事人在法定期限内未提出陈述、申辩。</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rPr>
        <w:t>本案中</w:t>
      </w:r>
      <w:r>
        <w:rPr>
          <w:rFonts w:hint="eastAsia" w:ascii="仿宋" w:hAnsi="仿宋" w:eastAsia="仿宋" w:cs="仿宋"/>
          <w:sz w:val="32"/>
          <w:szCs w:val="32"/>
          <w:lang w:eastAsia="zh-CN"/>
        </w:rPr>
        <w:t>，当事人生产不符合食品安全国家标准的产品，其行为涉嫌违反了《中华人民共和国食品安全法》第三十四条第（十三）项</w:t>
      </w:r>
      <w:r>
        <w:rPr>
          <w:rFonts w:hint="eastAsia" w:ascii="仿宋" w:hAnsi="仿宋" w:eastAsia="仿宋" w:cs="仿宋"/>
          <w:sz w:val="32"/>
          <w:szCs w:val="32"/>
          <w:lang w:val="en-US" w:eastAsia="zh-CN"/>
        </w:rPr>
        <w:t>的</w:t>
      </w:r>
      <w:r>
        <w:rPr>
          <w:rFonts w:hint="eastAsia" w:ascii="仿宋" w:hAnsi="仿宋" w:eastAsia="仿宋" w:cs="仿宋"/>
          <w:sz w:val="32"/>
          <w:szCs w:val="32"/>
          <w:lang w:eastAsia="zh-CN"/>
        </w:rPr>
        <w:t>规定。该行为事实清楚，证据充分，鉴于当事人积极配合调查，违法货值金额小，且为首次违法；结合《中华人民共和国行政处罚法》第五条“过罚相当原则”及第六条“处罚与教育相结合原则”；依据《中华人民共和国行政处罚法》第二十八条第一款、</w:t>
      </w:r>
      <w:r>
        <w:rPr>
          <w:rFonts w:hint="eastAsia" w:ascii="仿宋" w:hAnsi="仿宋" w:eastAsia="仿宋" w:cs="仿宋"/>
          <w:sz w:val="32"/>
          <w:szCs w:val="32"/>
          <w:lang w:val="en-US" w:eastAsia="zh-CN"/>
        </w:rPr>
        <w:t>第三十二条第（五）项、</w:t>
      </w:r>
      <w:r>
        <w:rPr>
          <w:rFonts w:hint="eastAsia" w:ascii="仿宋" w:hAnsi="仿宋" w:eastAsia="仿宋" w:cs="仿宋"/>
          <w:sz w:val="32"/>
          <w:szCs w:val="32"/>
          <w:lang w:eastAsia="zh-CN"/>
        </w:rPr>
        <w:t>《中华人民共和国食品安全法》第一百二十四条第二款的规定，本局作出决定如下：</w:t>
      </w:r>
      <w:r>
        <w:rPr>
          <w:rFonts w:hint="eastAsia" w:ascii="仿宋" w:hAnsi="仿宋" w:eastAsia="仿宋" w:cs="仿宋"/>
          <w:sz w:val="32"/>
          <w:szCs w:val="32"/>
          <w:lang w:val="en-US" w:eastAsia="zh-CN"/>
        </w:rPr>
        <w:t xml:space="preserve">    </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1、责令改正；</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没收违法所得</w:t>
      </w:r>
      <w:r>
        <w:rPr>
          <w:rFonts w:hint="eastAsia" w:ascii="仿宋" w:hAnsi="仿宋" w:eastAsia="仿宋" w:cs="仿宋"/>
          <w:sz w:val="32"/>
          <w:szCs w:val="32"/>
          <w:lang w:eastAsia="zh-CN"/>
        </w:rPr>
        <w:t>人民币</w:t>
      </w:r>
      <w:r>
        <w:rPr>
          <w:rFonts w:hint="eastAsia" w:ascii="仿宋" w:hAnsi="仿宋" w:eastAsia="仿宋" w:cs="仿宋"/>
          <w:sz w:val="32"/>
          <w:szCs w:val="32"/>
          <w:lang w:val="en-US" w:eastAsia="zh-CN"/>
        </w:rPr>
        <w:t>30</w:t>
      </w:r>
      <w:r>
        <w:rPr>
          <w:rFonts w:hint="eastAsia" w:ascii="仿宋" w:hAnsi="仿宋" w:eastAsia="仿宋" w:cs="仿宋"/>
          <w:sz w:val="32"/>
          <w:szCs w:val="32"/>
        </w:rPr>
        <w:t>0元</w:t>
      </w:r>
      <w:r>
        <w:rPr>
          <w:rFonts w:hint="eastAsia" w:ascii="仿宋" w:hAnsi="仿宋" w:eastAsia="仿宋" w:cs="仿宋"/>
          <w:sz w:val="32"/>
          <w:szCs w:val="32"/>
          <w:lang w:eastAsia="zh-CN"/>
        </w:rPr>
        <w:t>；</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处以罚款</w:t>
      </w:r>
      <w:r>
        <w:rPr>
          <w:rFonts w:hint="eastAsia" w:ascii="仿宋" w:hAnsi="仿宋" w:eastAsia="仿宋" w:cs="仿宋"/>
          <w:sz w:val="32"/>
          <w:szCs w:val="32"/>
          <w:lang w:eastAsia="zh-CN"/>
        </w:rPr>
        <w:t>人民币</w:t>
      </w:r>
      <w:r>
        <w:rPr>
          <w:rFonts w:hint="eastAsia" w:ascii="仿宋" w:hAnsi="仿宋" w:eastAsia="仿宋" w:cs="仿宋"/>
          <w:sz w:val="32"/>
          <w:szCs w:val="32"/>
        </w:rPr>
        <w:t>5</w:t>
      </w:r>
      <w:r>
        <w:rPr>
          <w:rFonts w:hint="eastAsia" w:ascii="仿宋" w:hAnsi="仿宋" w:eastAsia="仿宋" w:cs="仿宋"/>
          <w:sz w:val="32"/>
          <w:szCs w:val="32"/>
          <w:lang w:val="en-US" w:eastAsia="zh-CN"/>
        </w:rPr>
        <w:t>1</w:t>
      </w:r>
      <w:r>
        <w:rPr>
          <w:rFonts w:hint="eastAsia" w:ascii="仿宋" w:hAnsi="仿宋" w:eastAsia="仿宋" w:cs="仿宋"/>
          <w:sz w:val="32"/>
          <w:szCs w:val="32"/>
        </w:rPr>
        <w:t>00元。</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上述款项合计</w:t>
      </w:r>
      <w:r>
        <w:rPr>
          <w:rFonts w:hint="eastAsia" w:ascii="仿宋" w:hAnsi="仿宋" w:eastAsia="仿宋" w:cs="仿宋"/>
          <w:sz w:val="32"/>
          <w:szCs w:val="32"/>
          <w:lang w:eastAsia="zh-CN"/>
        </w:rPr>
        <w:t>人民币</w:t>
      </w:r>
      <w:r>
        <w:rPr>
          <w:rFonts w:hint="eastAsia" w:ascii="仿宋" w:hAnsi="仿宋" w:eastAsia="仿宋" w:cs="仿宋"/>
          <w:sz w:val="32"/>
          <w:szCs w:val="32"/>
        </w:rPr>
        <w:t>5</w:t>
      </w:r>
      <w:r>
        <w:rPr>
          <w:rFonts w:hint="eastAsia" w:ascii="仿宋" w:hAnsi="仿宋" w:eastAsia="仿宋" w:cs="仿宋"/>
          <w:sz w:val="32"/>
          <w:szCs w:val="32"/>
          <w:lang w:val="en-US" w:eastAsia="zh-CN"/>
        </w:rPr>
        <w:t>40</w:t>
      </w:r>
      <w:r>
        <w:rPr>
          <w:rFonts w:hint="eastAsia" w:ascii="仿宋" w:hAnsi="仿宋" w:eastAsia="仿宋" w:cs="仿宋"/>
          <w:sz w:val="32"/>
          <w:szCs w:val="32"/>
        </w:rPr>
        <w:t>0元，</w:t>
      </w:r>
      <w:r>
        <w:rPr>
          <w:rFonts w:hint="eastAsia" w:ascii="仿宋" w:hAnsi="仿宋" w:eastAsia="仿宋" w:cs="仿宋"/>
          <w:sz w:val="32"/>
          <w:szCs w:val="32"/>
          <w:lang w:val="en-US" w:eastAsia="zh-CN"/>
        </w:rPr>
        <w:t>当事人应当自收到本决定书之日起十五日内，持福建省政府非税收入缴款通知书通过银行网点或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r>
        <w:rPr>
          <w:rFonts w:hint="eastAsia" w:ascii="仿宋" w:hAnsi="仿宋" w:eastAsia="仿宋" w:cs="仿宋"/>
          <w:sz w:val="32"/>
          <w:szCs w:val="32"/>
        </w:rPr>
        <w:t>。</w:t>
      </w:r>
    </w:p>
    <w:p>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当事人如对本行政处罚决定不服，可在接到本行政处罚决定书之日起</w:t>
      </w:r>
      <w:r>
        <w:rPr>
          <w:rFonts w:hint="eastAsia" w:ascii="仿宋" w:hAnsi="仿宋" w:eastAsia="仿宋" w:cs="仿宋"/>
          <w:sz w:val="32"/>
          <w:szCs w:val="32"/>
          <w:lang w:val="en-US" w:eastAsia="zh-CN"/>
        </w:rPr>
        <w:t>六十</w:t>
      </w:r>
      <w:r>
        <w:rPr>
          <w:rFonts w:hint="eastAsia" w:ascii="仿宋" w:hAnsi="仿宋" w:eastAsia="仿宋" w:cs="仿宋"/>
          <w:sz w:val="32"/>
          <w:szCs w:val="32"/>
        </w:rPr>
        <w:t>日内向晋江市人民政府申请</w:t>
      </w:r>
      <w:r>
        <w:rPr>
          <w:rFonts w:hint="eastAsia" w:ascii="仿宋" w:hAnsi="仿宋" w:eastAsia="仿宋" w:cs="仿宋"/>
          <w:sz w:val="32"/>
          <w:szCs w:val="32"/>
          <w:lang w:eastAsia="zh-CN"/>
        </w:rPr>
        <w:t>行政</w:t>
      </w:r>
      <w:r>
        <w:rPr>
          <w:rFonts w:hint="eastAsia" w:ascii="仿宋" w:hAnsi="仿宋" w:eastAsia="仿宋" w:cs="仿宋"/>
          <w:sz w:val="32"/>
          <w:szCs w:val="32"/>
        </w:rPr>
        <w:t>复议，也可以</w:t>
      </w:r>
      <w:r>
        <w:rPr>
          <w:rFonts w:hint="eastAsia" w:ascii="仿宋" w:hAnsi="仿宋" w:eastAsia="仿宋" w:cs="仿宋"/>
          <w:sz w:val="32"/>
          <w:szCs w:val="32"/>
          <w:lang w:eastAsia="zh-CN"/>
        </w:rPr>
        <w:t>在</w:t>
      </w:r>
      <w:r>
        <w:rPr>
          <w:rFonts w:hint="eastAsia" w:ascii="仿宋" w:hAnsi="仿宋" w:eastAsia="仿宋" w:cs="仿宋"/>
          <w:sz w:val="32"/>
          <w:szCs w:val="32"/>
          <w:lang w:val="en-US" w:eastAsia="zh-CN"/>
        </w:rPr>
        <w:t>六</w:t>
      </w:r>
      <w:r>
        <w:rPr>
          <w:rFonts w:hint="eastAsia" w:ascii="仿宋" w:hAnsi="仿宋" w:eastAsia="仿宋" w:cs="仿宋"/>
          <w:sz w:val="32"/>
          <w:szCs w:val="32"/>
        </w:rPr>
        <w:t>个月内依法向</w:t>
      </w:r>
      <w:r>
        <w:rPr>
          <w:rFonts w:hint="eastAsia" w:ascii="仿宋" w:hAnsi="仿宋" w:eastAsia="仿宋" w:cs="仿宋"/>
          <w:sz w:val="32"/>
          <w:szCs w:val="32"/>
          <w:lang w:eastAsia="zh-CN"/>
        </w:rPr>
        <w:t>洛江区</w:t>
      </w:r>
      <w:r>
        <w:rPr>
          <w:rFonts w:hint="eastAsia" w:ascii="仿宋" w:hAnsi="仿宋" w:eastAsia="仿宋" w:cs="仿宋"/>
          <w:sz w:val="32"/>
          <w:szCs w:val="32"/>
        </w:rPr>
        <w:t>人民法院提起行政诉讼。</w:t>
      </w:r>
      <w:r>
        <w:rPr>
          <w:rFonts w:hint="eastAsia" w:ascii="仿宋" w:hAnsi="仿宋" w:eastAsia="仿宋" w:cs="仿宋"/>
          <w:sz w:val="32"/>
          <w:szCs w:val="32"/>
          <w:lang w:eastAsia="zh-CN"/>
        </w:rPr>
        <w:t>申请行政复议或者提起行政诉讼期间，行政处罚不停止执行，法律、法规、规章另有规定的，从其规定。</w:t>
      </w:r>
      <w:r>
        <w:rPr>
          <w:rFonts w:hint="eastAsia" w:ascii="仿宋" w:hAnsi="仿宋" w:eastAsia="仿宋" w:cs="仿宋"/>
          <w:sz w:val="32"/>
          <w:szCs w:val="32"/>
        </w:rPr>
        <w:t>当事人在法定期限内不申请行政复议或者提起行政诉讼，又不履行本行政处罚决定的，我局将依法申请晋江市人民法院强制执行。</w:t>
      </w:r>
    </w:p>
    <w:p>
      <w:pPr>
        <w:keepNext w:val="0"/>
        <w:keepLines w:val="0"/>
        <w:pageBreakBefore w:val="0"/>
        <w:widowControl/>
        <w:tabs>
          <w:tab w:val="left" w:pos="5667"/>
        </w:tabs>
        <w:kinsoku w:val="0"/>
        <w:wordWrap/>
        <w:overflowPunct/>
        <w:topLinePunct w:val="0"/>
        <w:autoSpaceDE w:val="0"/>
        <w:autoSpaceDN w:val="0"/>
        <w:bidi w:val="0"/>
        <w:adjustRightInd w:val="0"/>
        <w:snapToGrid w:val="0"/>
        <w:spacing w:line="520" w:lineRule="exact"/>
        <w:ind w:right="468" w:firstLine="624" w:firstLineChars="200"/>
        <w:jc w:val="right"/>
        <w:textAlignment w:val="baseline"/>
        <w:rPr>
          <w:rFonts w:hint="eastAsia" w:ascii="仿宋" w:hAnsi="仿宋" w:eastAsia="仿宋" w:cs="仿宋"/>
          <w:spacing w:val="-4"/>
          <w:sz w:val="32"/>
          <w:szCs w:val="32"/>
        </w:rPr>
      </w:pPr>
    </w:p>
    <w:p>
      <w:pPr>
        <w:keepNext w:val="0"/>
        <w:keepLines w:val="0"/>
        <w:pageBreakBefore w:val="0"/>
        <w:widowControl/>
        <w:tabs>
          <w:tab w:val="left" w:pos="5667"/>
        </w:tabs>
        <w:kinsoku w:val="0"/>
        <w:wordWrap/>
        <w:overflowPunct/>
        <w:topLinePunct w:val="0"/>
        <w:autoSpaceDE w:val="0"/>
        <w:autoSpaceDN w:val="0"/>
        <w:bidi w:val="0"/>
        <w:adjustRightInd w:val="0"/>
        <w:snapToGrid w:val="0"/>
        <w:spacing w:line="520" w:lineRule="exact"/>
        <w:ind w:right="468" w:firstLine="624" w:firstLineChars="200"/>
        <w:jc w:val="right"/>
        <w:textAlignment w:val="baseline"/>
        <w:rPr>
          <w:rFonts w:ascii="仿宋" w:hAnsi="仿宋" w:eastAsia="仿宋" w:cs="仿宋"/>
          <w:spacing w:val="-4"/>
          <w:sz w:val="32"/>
          <w:szCs w:val="32"/>
        </w:rPr>
      </w:pPr>
      <w:r>
        <w:rPr>
          <w:rFonts w:hint="eastAsia" w:ascii="仿宋" w:hAnsi="仿宋" w:eastAsia="仿宋" w:cs="仿宋"/>
          <w:spacing w:val="-4"/>
          <w:sz w:val="32"/>
          <w:szCs w:val="32"/>
        </w:rPr>
        <w:t>晋</w:t>
      </w:r>
      <w:r>
        <w:rPr>
          <w:rFonts w:ascii="仿宋" w:hAnsi="仿宋" w:eastAsia="仿宋" w:cs="仿宋"/>
          <w:spacing w:val="-4"/>
          <w:sz w:val="32"/>
          <w:szCs w:val="32"/>
        </w:rPr>
        <w:t>江市市场监督管理局</w:t>
      </w:r>
    </w:p>
    <w:p>
      <w:pPr>
        <w:keepNext w:val="0"/>
        <w:keepLines w:val="0"/>
        <w:pageBreakBefore w:val="0"/>
        <w:widowControl/>
        <w:tabs>
          <w:tab w:val="left" w:pos="5667"/>
        </w:tabs>
        <w:kinsoku w:val="0"/>
        <w:wordWrap/>
        <w:overflowPunct/>
        <w:topLinePunct w:val="0"/>
        <w:autoSpaceDE w:val="0"/>
        <w:autoSpaceDN w:val="0"/>
        <w:bidi w:val="0"/>
        <w:adjustRightInd w:val="0"/>
        <w:snapToGrid w:val="0"/>
        <w:spacing w:line="520" w:lineRule="exact"/>
        <w:ind w:right="936" w:firstLine="624" w:firstLineChars="200"/>
        <w:jc w:val="center"/>
        <w:textAlignment w:val="baseline"/>
        <w:rPr>
          <w:rFonts w:ascii="仿宋" w:hAnsi="仿宋" w:eastAsia="仿宋" w:cs="仿宋"/>
          <w:spacing w:val="-16"/>
          <w:sz w:val="32"/>
          <w:szCs w:val="32"/>
          <w:highlight w:val="none"/>
        </w:rPr>
      </w:pPr>
      <w:r>
        <w:rPr>
          <w:rFonts w:hint="eastAsia" w:ascii="仿宋" w:hAnsi="仿宋" w:eastAsia="仿宋" w:cs="仿宋"/>
          <w:spacing w:val="-4"/>
          <w:sz w:val="32"/>
          <w:szCs w:val="32"/>
          <w:lang w:val="en-US" w:eastAsia="zh-CN"/>
        </w:rPr>
        <w:t xml:space="preserve">                                    </w:t>
      </w:r>
      <w:r>
        <w:rPr>
          <w:rFonts w:hint="eastAsia" w:ascii="仿宋" w:hAnsi="仿宋" w:eastAsia="仿宋" w:cs="仿宋"/>
          <w:spacing w:val="-4"/>
          <w:sz w:val="32"/>
          <w:szCs w:val="32"/>
          <w:highlight w:val="none"/>
        </w:rPr>
        <w:t>202</w:t>
      </w:r>
      <w:r>
        <w:rPr>
          <w:rFonts w:hint="eastAsia" w:ascii="仿宋" w:hAnsi="仿宋" w:eastAsia="仿宋" w:cs="仿宋"/>
          <w:spacing w:val="-4"/>
          <w:sz w:val="32"/>
          <w:szCs w:val="32"/>
          <w:highlight w:val="none"/>
          <w:lang w:val="en-US" w:eastAsia="zh-CN"/>
        </w:rPr>
        <w:t>5</w:t>
      </w:r>
      <w:r>
        <w:rPr>
          <w:rFonts w:ascii="仿宋" w:hAnsi="仿宋" w:eastAsia="仿宋" w:cs="仿宋"/>
          <w:spacing w:val="-16"/>
          <w:sz w:val="32"/>
          <w:szCs w:val="32"/>
          <w:highlight w:val="none"/>
        </w:rPr>
        <w:t>年</w:t>
      </w:r>
      <w:r>
        <w:rPr>
          <w:rFonts w:hint="eastAsia" w:ascii="仿宋" w:hAnsi="仿宋" w:eastAsia="仿宋" w:cs="仿宋"/>
          <w:spacing w:val="10"/>
          <w:sz w:val="32"/>
          <w:szCs w:val="32"/>
          <w:highlight w:val="none"/>
          <w:lang w:val="en-US" w:eastAsia="zh-CN"/>
        </w:rPr>
        <w:t>8</w:t>
      </w:r>
      <w:r>
        <w:rPr>
          <w:rFonts w:ascii="仿宋" w:hAnsi="仿宋" w:eastAsia="仿宋" w:cs="仿宋"/>
          <w:spacing w:val="-16"/>
          <w:sz w:val="32"/>
          <w:szCs w:val="32"/>
          <w:highlight w:val="none"/>
        </w:rPr>
        <w:t>月</w:t>
      </w:r>
      <w:r>
        <w:rPr>
          <w:rFonts w:hint="eastAsia" w:ascii="仿宋" w:hAnsi="仿宋" w:eastAsia="仿宋" w:cs="仿宋"/>
          <w:spacing w:val="24"/>
          <w:sz w:val="32"/>
          <w:szCs w:val="32"/>
          <w:highlight w:val="none"/>
          <w:lang w:val="en-US" w:eastAsia="zh-CN"/>
        </w:rPr>
        <w:t>18</w:t>
      </w:r>
      <w:r>
        <w:rPr>
          <w:rFonts w:ascii="仿宋" w:hAnsi="仿宋" w:eastAsia="仿宋" w:cs="仿宋"/>
          <w:spacing w:val="-16"/>
          <w:sz w:val="32"/>
          <w:szCs w:val="32"/>
          <w:highlight w:val="none"/>
        </w:rPr>
        <w:t>日</w:t>
      </w:r>
    </w:p>
    <w:p>
      <w:pPr>
        <w:keepNext w:val="0"/>
        <w:keepLines w:val="0"/>
        <w:pageBreakBefore w:val="0"/>
        <w:widowControl/>
        <w:tabs>
          <w:tab w:val="left" w:pos="5667"/>
        </w:tabs>
        <w:kinsoku w:val="0"/>
        <w:wordWrap/>
        <w:overflowPunct/>
        <w:topLinePunct w:val="0"/>
        <w:autoSpaceDE w:val="0"/>
        <w:autoSpaceDN w:val="0"/>
        <w:bidi w:val="0"/>
        <w:adjustRightInd w:val="0"/>
        <w:snapToGrid w:val="0"/>
        <w:spacing w:line="520" w:lineRule="exact"/>
        <w:ind w:right="936" w:firstLine="576" w:firstLineChars="200"/>
        <w:jc w:val="center"/>
        <w:textAlignment w:val="baseline"/>
        <w:rPr>
          <w:rFonts w:ascii="仿宋" w:hAnsi="仿宋" w:eastAsia="仿宋" w:cs="仿宋"/>
          <w:spacing w:val="-16"/>
          <w:sz w:val="32"/>
          <w:szCs w:val="32"/>
          <w:highlight w:val="none"/>
        </w:rPr>
      </w:pPr>
    </w:p>
    <w:p>
      <w:pPr>
        <w:keepNext w:val="0"/>
        <w:keepLines w:val="0"/>
        <w:pageBreakBefore w:val="0"/>
        <w:widowControl/>
        <w:tabs>
          <w:tab w:val="left" w:pos="5667"/>
        </w:tabs>
        <w:kinsoku w:val="0"/>
        <w:wordWrap/>
        <w:overflowPunct/>
        <w:topLinePunct w:val="0"/>
        <w:autoSpaceDE w:val="0"/>
        <w:autoSpaceDN w:val="0"/>
        <w:bidi w:val="0"/>
        <w:adjustRightInd w:val="0"/>
        <w:snapToGrid w:val="0"/>
        <w:spacing w:line="520" w:lineRule="exact"/>
        <w:ind w:right="936" w:firstLine="576" w:firstLineChars="200"/>
        <w:jc w:val="center"/>
        <w:textAlignment w:val="baseline"/>
        <w:rPr>
          <w:rFonts w:ascii="仿宋" w:hAnsi="仿宋" w:eastAsia="仿宋" w:cs="仿宋"/>
          <w:spacing w:val="-16"/>
          <w:sz w:val="32"/>
          <w:szCs w:val="32"/>
          <w:highlight w:val="none"/>
        </w:rPr>
      </w:pPr>
    </w:p>
    <w:p>
      <w:pPr>
        <w:keepNext w:val="0"/>
        <w:keepLines w:val="0"/>
        <w:pageBreakBefore w:val="0"/>
        <w:widowControl/>
        <w:tabs>
          <w:tab w:val="left" w:pos="5667"/>
        </w:tabs>
        <w:kinsoku w:val="0"/>
        <w:wordWrap/>
        <w:overflowPunct/>
        <w:topLinePunct w:val="0"/>
        <w:autoSpaceDE w:val="0"/>
        <w:autoSpaceDN w:val="0"/>
        <w:bidi w:val="0"/>
        <w:adjustRightInd w:val="0"/>
        <w:snapToGrid w:val="0"/>
        <w:spacing w:line="520" w:lineRule="exact"/>
        <w:ind w:right="936" w:firstLine="576" w:firstLineChars="200"/>
        <w:jc w:val="center"/>
        <w:textAlignment w:val="baseline"/>
        <w:rPr>
          <w:rFonts w:ascii="仿宋" w:hAnsi="仿宋" w:eastAsia="仿宋" w:cs="仿宋"/>
          <w:spacing w:val="-16"/>
          <w:sz w:val="32"/>
          <w:szCs w:val="32"/>
          <w:highlight w:val="none"/>
        </w:rPr>
      </w:pPr>
    </w:p>
    <w:p>
      <w:pPr>
        <w:keepNext w:val="0"/>
        <w:keepLines w:val="0"/>
        <w:pageBreakBefore w:val="0"/>
        <w:widowControl/>
        <w:tabs>
          <w:tab w:val="left" w:pos="5667"/>
        </w:tabs>
        <w:kinsoku w:val="0"/>
        <w:wordWrap/>
        <w:overflowPunct/>
        <w:topLinePunct w:val="0"/>
        <w:autoSpaceDE w:val="0"/>
        <w:autoSpaceDN w:val="0"/>
        <w:bidi w:val="0"/>
        <w:adjustRightInd w:val="0"/>
        <w:snapToGrid w:val="0"/>
        <w:spacing w:line="520" w:lineRule="exact"/>
        <w:ind w:right="936" w:firstLine="576" w:firstLineChars="200"/>
        <w:jc w:val="center"/>
        <w:textAlignment w:val="baseline"/>
        <w:rPr>
          <w:rFonts w:ascii="仿宋" w:hAnsi="仿宋" w:eastAsia="仿宋" w:cs="仿宋"/>
          <w:spacing w:val="-16"/>
          <w:sz w:val="32"/>
          <w:szCs w:val="32"/>
          <w:highlight w:val="none"/>
        </w:rPr>
      </w:pPr>
    </w:p>
    <w:p>
      <w:pPr>
        <w:keepNext w:val="0"/>
        <w:keepLines w:val="0"/>
        <w:pageBreakBefore w:val="0"/>
        <w:widowControl/>
        <w:tabs>
          <w:tab w:val="left" w:pos="5667"/>
        </w:tabs>
        <w:kinsoku w:val="0"/>
        <w:wordWrap/>
        <w:overflowPunct/>
        <w:topLinePunct w:val="0"/>
        <w:autoSpaceDE w:val="0"/>
        <w:autoSpaceDN w:val="0"/>
        <w:bidi w:val="0"/>
        <w:adjustRightInd w:val="0"/>
        <w:snapToGrid w:val="0"/>
        <w:spacing w:line="520" w:lineRule="exact"/>
        <w:ind w:right="936" w:firstLine="576" w:firstLineChars="200"/>
        <w:jc w:val="center"/>
        <w:textAlignment w:val="baseline"/>
        <w:rPr>
          <w:rFonts w:ascii="仿宋" w:hAnsi="仿宋" w:eastAsia="仿宋" w:cs="仿宋"/>
          <w:spacing w:val="-16"/>
          <w:sz w:val="32"/>
          <w:szCs w:val="32"/>
          <w:highlight w:val="none"/>
        </w:rPr>
      </w:pPr>
    </w:p>
    <w:p>
      <w:pPr>
        <w:spacing w:line="520" w:lineRule="exact"/>
        <w:ind w:firstLine="160" w:firstLineChars="50"/>
        <w:jc w:val="center"/>
        <w:rPr>
          <w:rFonts w:ascii="仿宋_GB2312" w:hAnsi="黑体" w:eastAsia="仿宋_GB2312" w:cs="Times New Roman"/>
          <w:sz w:val="32"/>
          <w:szCs w:val="32"/>
        </w:rPr>
      </w:pPr>
      <w:r>
        <w:rPr>
          <w:rFonts w:hint="eastAsia" w:ascii="仿宋_GB2312" w:hAnsi="黑体" w:eastAsia="仿宋_GB2312" w:cs="仿宋_GB2312"/>
          <w:sz w:val="32"/>
          <w:szCs w:val="32"/>
        </w:rPr>
        <w:t>（</w:t>
      </w:r>
      <w:r>
        <w:rPr>
          <w:rFonts w:hint="eastAsia" w:ascii="黑体" w:hAnsi="黑体" w:eastAsia="黑体" w:cs="黑体"/>
          <w:b/>
          <w:bCs/>
          <w:sz w:val="32"/>
          <w:szCs w:val="32"/>
        </w:rPr>
        <w:t>市场监督管理部门将依法向社会公示本行政处罚决定信息</w:t>
      </w:r>
      <w:r>
        <w:rPr>
          <w:rFonts w:hint="eastAsia" w:ascii="仿宋_GB2312" w:hAnsi="黑体" w:eastAsia="仿宋_GB2312" w:cs="仿宋_GB2312"/>
          <w:sz w:val="32"/>
          <w:szCs w:val="32"/>
        </w:rPr>
        <w:t>）</w:t>
      </w:r>
    </w:p>
    <w:p>
      <w:pPr>
        <w:spacing w:line="26" w:lineRule="exact"/>
        <w:textAlignment w:val="center"/>
      </w:pPr>
      <w:r>
        <w:drawing>
          <wp:inline distT="0" distB="0" distL="0" distR="0">
            <wp:extent cx="5605145" cy="45085"/>
            <wp:effectExtent l="0" t="0" r="0" b="0"/>
            <wp:docPr id="241" name="IM 241"/>
            <wp:cNvGraphicFramePr/>
            <a:graphic xmlns:a="http://schemas.openxmlformats.org/drawingml/2006/main">
              <a:graphicData uri="http://schemas.openxmlformats.org/drawingml/2006/picture">
                <pic:pic xmlns:pic="http://schemas.openxmlformats.org/drawingml/2006/picture">
                  <pic:nvPicPr>
                    <pic:cNvPr id="241" name="IM 241"/>
                    <pic:cNvPicPr/>
                  </pic:nvPicPr>
                  <pic:blipFill>
                    <a:blip r:embed="rId6"/>
                    <a:stretch>
                      <a:fillRect/>
                    </a:stretch>
                  </pic:blipFill>
                  <pic:spPr>
                    <a:xfrm>
                      <a:off x="0" y="0"/>
                      <a:ext cx="9241634" cy="75380"/>
                    </a:xfrm>
                    <a:prstGeom prst="rect">
                      <a:avLst/>
                    </a:prstGeom>
                  </pic:spPr>
                </pic:pic>
              </a:graphicData>
            </a:graphic>
          </wp:inline>
        </w:drawing>
      </w:r>
    </w:p>
    <w:p>
      <w:pPr>
        <w:spacing w:before="106" w:line="183" w:lineRule="auto"/>
        <w:rPr>
          <w:rFonts w:ascii="Microsoft JhengHei"/>
        </w:rPr>
      </w:pPr>
      <w:r>
        <w:rPr>
          <w:rFonts w:ascii="仿宋" w:hAnsi="仿宋" w:eastAsia="仿宋" w:cs="仿宋"/>
          <w:spacing w:val="-10"/>
          <w:sz w:val="32"/>
          <w:szCs w:val="32"/>
        </w:rPr>
        <w:t>本文书一式</w:t>
      </w:r>
      <w:r>
        <w:rPr>
          <w:rFonts w:hint="eastAsia" w:ascii="仿宋" w:hAnsi="仿宋" w:eastAsia="仿宋" w:cs="仿宋"/>
          <w:spacing w:val="6"/>
          <w:sz w:val="32"/>
          <w:szCs w:val="32"/>
          <w:u w:val="single"/>
          <w:lang w:eastAsia="zh-CN"/>
        </w:rPr>
        <w:t>两</w:t>
      </w:r>
      <w:r>
        <w:rPr>
          <w:rFonts w:ascii="仿宋" w:hAnsi="仿宋" w:eastAsia="仿宋" w:cs="仿宋"/>
          <w:spacing w:val="-10"/>
          <w:sz w:val="32"/>
          <w:szCs w:val="32"/>
        </w:rPr>
        <w:t>份，</w:t>
      </w:r>
      <w:r>
        <w:rPr>
          <w:rFonts w:hint="eastAsia" w:ascii="仿宋" w:hAnsi="仿宋" w:eastAsia="仿宋" w:cs="仿宋"/>
          <w:spacing w:val="20"/>
          <w:sz w:val="32"/>
          <w:szCs w:val="32"/>
          <w:u w:val="single"/>
        </w:rPr>
        <w:t>一</w:t>
      </w:r>
      <w:r>
        <w:rPr>
          <w:rFonts w:ascii="仿宋" w:hAnsi="仿宋" w:eastAsia="仿宋" w:cs="仿宋"/>
          <w:spacing w:val="-10"/>
          <w:sz w:val="32"/>
          <w:szCs w:val="32"/>
        </w:rPr>
        <w:t>份送达，</w:t>
      </w:r>
      <w:r>
        <w:rPr>
          <w:rFonts w:ascii="仿宋" w:hAnsi="仿宋" w:eastAsia="仿宋" w:cs="仿宋"/>
          <w:spacing w:val="-10"/>
          <w:sz w:val="32"/>
          <w:szCs w:val="32"/>
          <w:u w:val="single"/>
        </w:rPr>
        <w:t>一</w:t>
      </w:r>
      <w:r>
        <w:rPr>
          <w:rFonts w:ascii="仿宋" w:hAnsi="仿宋" w:eastAsia="仿宋" w:cs="仿宋"/>
          <w:spacing w:val="-10"/>
          <w:sz w:val="32"/>
          <w:szCs w:val="32"/>
        </w:rPr>
        <w:t>份归档。</w:t>
      </w:r>
    </w:p>
    <w:sectPr>
      <w:headerReference r:id="rId3" w:type="default"/>
      <w:footerReference r:id="rId4" w:type="default"/>
      <w:pgSz w:w="11906" w:h="16838"/>
      <w:pgMar w:top="1020" w:right="1191" w:bottom="907" w:left="1417" w:header="851" w:footer="130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97898828"/>
                            <w:docPartObj>
                              <w:docPartGallery w:val="autotext"/>
                            </w:docPartObj>
                          </w:sdtPr>
                          <w:sdtEndPr>
                            <w:rPr>
                              <w:rFonts w:ascii="宋体" w:hAnsi="宋体" w:eastAsia="宋体"/>
                              <w:sz w:val="28"/>
                              <w:szCs w:val="28"/>
                            </w:rPr>
                          </w:sdtEndPr>
                          <w:sdtContent>
                            <w:p>
                              <w:pPr>
                                <w:pStyle w:val="2"/>
                                <w:jc w:val="cente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p>
                          </w:sdtContent>
                        </w:sdt>
                        <w:p>
                          <w:pPr>
                            <w:rPr>
                              <w:rFonts w:ascii="宋体" w:hAnsi="宋体" w:eastAsia="宋体"/>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897898828"/>
                      <w:docPartObj>
                        <w:docPartGallery w:val="autotext"/>
                      </w:docPartObj>
                    </w:sdtPr>
                    <w:sdtEndPr>
                      <w:rPr>
                        <w:rFonts w:ascii="宋体" w:hAnsi="宋体" w:eastAsia="宋体"/>
                        <w:sz w:val="28"/>
                        <w:szCs w:val="28"/>
                      </w:rPr>
                    </w:sdtEndPr>
                    <w:sdtContent>
                      <w:p>
                        <w:pPr>
                          <w:pStyle w:val="2"/>
                          <w:jc w:val="cente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p>
                    </w:sdtContent>
                  </w:sdt>
                  <w:p>
                    <w:pPr>
                      <w:rPr>
                        <w:rFonts w:ascii="宋体" w:hAnsi="宋体" w:eastAsia="宋体"/>
                        <w:sz w:val="28"/>
                        <w:szCs w:val="28"/>
                      </w:rPr>
                    </w:pPr>
                  </w:p>
                </w:txbxContent>
              </v:textbox>
            </v:shape>
          </w:pict>
        </mc:Fallback>
      </mc:AlternateContent>
    </w:r>
  </w:p>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B64"/>
    <w:rsid w:val="00011250"/>
    <w:rsid w:val="0006458B"/>
    <w:rsid w:val="001B09C8"/>
    <w:rsid w:val="00272CCB"/>
    <w:rsid w:val="003A066B"/>
    <w:rsid w:val="00411704"/>
    <w:rsid w:val="0042018D"/>
    <w:rsid w:val="00421F22"/>
    <w:rsid w:val="005F7EE0"/>
    <w:rsid w:val="00695479"/>
    <w:rsid w:val="006D3373"/>
    <w:rsid w:val="00765618"/>
    <w:rsid w:val="007D7DAD"/>
    <w:rsid w:val="00812C37"/>
    <w:rsid w:val="009113AF"/>
    <w:rsid w:val="009964E4"/>
    <w:rsid w:val="00A166EC"/>
    <w:rsid w:val="00AC1222"/>
    <w:rsid w:val="00AE72B4"/>
    <w:rsid w:val="00B34642"/>
    <w:rsid w:val="00B71E1E"/>
    <w:rsid w:val="00CC1344"/>
    <w:rsid w:val="00D50B64"/>
    <w:rsid w:val="00E450A1"/>
    <w:rsid w:val="00EA1240"/>
    <w:rsid w:val="00F745B0"/>
    <w:rsid w:val="00F967E2"/>
    <w:rsid w:val="08FE3AB9"/>
    <w:rsid w:val="0CB06EE6"/>
    <w:rsid w:val="10896C31"/>
    <w:rsid w:val="172F1636"/>
    <w:rsid w:val="18AC028C"/>
    <w:rsid w:val="193A32DB"/>
    <w:rsid w:val="21A7378A"/>
    <w:rsid w:val="24157D1E"/>
    <w:rsid w:val="24664537"/>
    <w:rsid w:val="2EF95D41"/>
    <w:rsid w:val="2F7E32B9"/>
    <w:rsid w:val="30AA3BA7"/>
    <w:rsid w:val="33F40EDF"/>
    <w:rsid w:val="3E051409"/>
    <w:rsid w:val="3E0B273F"/>
    <w:rsid w:val="3E1A64EC"/>
    <w:rsid w:val="43DF7957"/>
    <w:rsid w:val="46705444"/>
    <w:rsid w:val="47362EE5"/>
    <w:rsid w:val="4D2C27D2"/>
    <w:rsid w:val="52CB2131"/>
    <w:rsid w:val="54AA4319"/>
    <w:rsid w:val="556D56A4"/>
    <w:rsid w:val="55D0407C"/>
    <w:rsid w:val="57FA3DA1"/>
    <w:rsid w:val="59DB630F"/>
    <w:rsid w:val="5C8B0787"/>
    <w:rsid w:val="77091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table" w:customStyle="1" w:styleId="6">
    <w:name w:val="Table Normal"/>
    <w:unhideWhenUsed/>
    <w:qFormat/>
    <w:uiPriority w:val="0"/>
    <w:rPr>
      <w:rFonts w:ascii="Arial" w:hAnsi="Arial" w:cs="Arial"/>
      <w:kern w:val="0"/>
      <w:sz w:val="20"/>
      <w:szCs w:val="20"/>
    </w:rPr>
    <w:tblPr>
      <w:tblLayout w:type="fixed"/>
      <w:tblCellMar>
        <w:top w:w="0" w:type="dxa"/>
        <w:left w:w="0" w:type="dxa"/>
        <w:bottom w:w="0" w:type="dxa"/>
        <w:right w:w="0" w:type="dxa"/>
      </w:tblCellMar>
    </w:tblPr>
  </w:style>
  <w:style w:type="character" w:customStyle="1" w:styleId="7">
    <w:name w:val="页眉 字符"/>
    <w:basedOn w:val="4"/>
    <w:link w:val="3"/>
    <w:qFormat/>
    <w:uiPriority w:val="99"/>
    <w:rPr>
      <w:rFonts w:ascii="Arial" w:hAnsi="Arial" w:eastAsia="Arial" w:cs="Arial"/>
      <w:snapToGrid w:val="0"/>
      <w:color w:val="000000"/>
      <w:kern w:val="0"/>
      <w:sz w:val="18"/>
      <w:szCs w:val="18"/>
    </w:rPr>
  </w:style>
  <w:style w:type="character" w:customStyle="1" w:styleId="8">
    <w:name w:val="页脚 字符"/>
    <w:basedOn w:val="4"/>
    <w:link w:val="2"/>
    <w:qFormat/>
    <w:uiPriority w:val="99"/>
    <w:rPr>
      <w:rFonts w:ascii="Arial" w:hAnsi="Arial" w:eastAsia="Arial" w:cs="Arial"/>
      <w:snapToGrid w:val="0"/>
      <w:color w:val="000000"/>
      <w:kern w:val="0"/>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1692</Words>
  <Characters>1838</Characters>
  <Lines>13</Lines>
  <Paragraphs>3</Paragraphs>
  <TotalTime>10</TotalTime>
  <ScaleCrop>false</ScaleCrop>
  <LinksUpToDate>false</LinksUpToDate>
  <CharactersWithSpaces>1910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2021-11-29T08:30:00Z</dcterms:created>
  <dc:creator>李海晖</dc:creator>
  <cp:lastModifiedBy>王锦华</cp:lastModifiedBy>
  <cp:lastPrinted>2025-08-13T00:55:00Z</cp:lastPrinted>
  <dcterms:modified xsi:type="dcterms:W3CDTF">2026-01-14T00:28:01Z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1B69AC5EE4874CB690542F648C2CCDCC</vt:lpwstr>
  </property>
</Properties>
</file>